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6D70" w14:textId="77777777" w:rsidR="000F43A9" w:rsidRPr="00F655FB" w:rsidRDefault="000F43A9" w:rsidP="000F43A9">
      <w:pPr>
        <w:jc w:val="center"/>
        <w:rPr>
          <w:rFonts w:ascii="Century Gothic" w:hAnsi="Century Gothic" w:cs="Times New Roman"/>
          <w:b/>
          <w:sz w:val="24"/>
        </w:rPr>
      </w:pPr>
      <w:r w:rsidRPr="00F655FB">
        <w:rPr>
          <w:rFonts w:ascii="Century Gothic" w:hAnsi="Century Gothic" w:cs="Times New Roman"/>
          <w:b/>
          <w:sz w:val="24"/>
        </w:rPr>
        <w:t>Kontoret for voldsoffererstatning</w:t>
      </w:r>
    </w:p>
    <w:p w14:paraId="73A04D82" w14:textId="77777777" w:rsidR="000C296C" w:rsidRPr="00F655FB" w:rsidRDefault="00D71A6B" w:rsidP="000F43A9">
      <w:pPr>
        <w:jc w:val="center"/>
        <w:rPr>
          <w:rFonts w:ascii="Century Gothic" w:hAnsi="Century Gothic" w:cs="Times New Roman"/>
          <w:b/>
          <w:sz w:val="24"/>
        </w:rPr>
      </w:pPr>
      <w:r w:rsidRPr="00F655FB">
        <w:rPr>
          <w:rFonts w:ascii="Century Gothic" w:hAnsi="Century Gothic" w:cs="Times New Roman"/>
          <w:b/>
          <w:sz w:val="24"/>
        </w:rPr>
        <w:t>M</w:t>
      </w:r>
      <w:r w:rsidR="000F43A9" w:rsidRPr="00F655FB">
        <w:rPr>
          <w:rFonts w:ascii="Century Gothic" w:hAnsi="Century Gothic" w:cs="Times New Roman"/>
          <w:b/>
          <w:sz w:val="24"/>
        </w:rPr>
        <w:t>andat</w:t>
      </w:r>
    </w:p>
    <w:p w14:paraId="67CA5CC0" w14:textId="77777777" w:rsidR="000F43A9" w:rsidRPr="00F655FB" w:rsidRDefault="000F43A9" w:rsidP="00D71A6B">
      <w:pPr>
        <w:jc w:val="center"/>
        <w:rPr>
          <w:rFonts w:ascii="Century Gothic" w:hAnsi="Century Gothic" w:cs="Times New Roman"/>
          <w:b/>
          <w:sz w:val="24"/>
        </w:rPr>
      </w:pPr>
      <w:proofErr w:type="gramStart"/>
      <w:r w:rsidRPr="00F655FB">
        <w:rPr>
          <w:rFonts w:ascii="Century Gothic" w:hAnsi="Century Gothic" w:cs="Times New Roman"/>
          <w:b/>
          <w:sz w:val="24"/>
        </w:rPr>
        <w:t>for</w:t>
      </w:r>
      <w:proofErr w:type="gramEnd"/>
      <w:r w:rsidRPr="00F655FB">
        <w:rPr>
          <w:rFonts w:ascii="Century Gothic" w:hAnsi="Century Gothic" w:cs="Times New Roman"/>
          <w:b/>
          <w:sz w:val="24"/>
        </w:rPr>
        <w:t xml:space="preserve"> utarbeidelse av spesialisterklær</w:t>
      </w:r>
      <w:r w:rsidR="00D71A6B" w:rsidRPr="00F655FB">
        <w:rPr>
          <w:rFonts w:ascii="Century Gothic" w:hAnsi="Century Gothic" w:cs="Times New Roman"/>
          <w:b/>
          <w:sz w:val="24"/>
        </w:rPr>
        <w:t>ing i forbindelse med søknad om voldsoffererstatning</w:t>
      </w:r>
    </w:p>
    <w:p w14:paraId="59551A93" w14:textId="77777777" w:rsidR="000F43A9" w:rsidRPr="00635733" w:rsidRDefault="000F43A9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>Generelt</w:t>
      </w:r>
    </w:p>
    <w:p w14:paraId="30E957AA" w14:textId="77777777" w:rsidR="000F43A9" w:rsidRPr="00635733" w:rsidRDefault="000F43A9" w:rsidP="000F43A9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Den sakkyndige erklæringen utarbeides i samsv</w:t>
      </w:r>
      <w:r w:rsidR="00D75299" w:rsidRPr="00635733">
        <w:rPr>
          <w:rFonts w:ascii="Century Gothic" w:hAnsi="Century Gothic" w:cs="Times New Roman"/>
        </w:rPr>
        <w:t xml:space="preserve">ar med </w:t>
      </w:r>
      <w:proofErr w:type="spellStart"/>
      <w:r w:rsidR="00D75299" w:rsidRPr="00635733">
        <w:rPr>
          <w:rFonts w:ascii="Century Gothic" w:hAnsi="Century Gothic" w:cs="Times New Roman"/>
        </w:rPr>
        <w:t>helsepersone</w:t>
      </w:r>
      <w:r w:rsidR="00E830F8" w:rsidRPr="00635733">
        <w:rPr>
          <w:rFonts w:ascii="Century Gothic" w:hAnsi="Century Gothic" w:cs="Times New Roman"/>
        </w:rPr>
        <w:t>lloven</w:t>
      </w:r>
      <w:proofErr w:type="spellEnd"/>
      <w:r w:rsidR="00E830F8" w:rsidRPr="00635733">
        <w:rPr>
          <w:rFonts w:ascii="Century Gothic" w:hAnsi="Century Gothic" w:cs="Times New Roman"/>
        </w:rPr>
        <w:t xml:space="preserve"> (se </w:t>
      </w:r>
      <w:r w:rsidRPr="00635733">
        <w:rPr>
          <w:rFonts w:ascii="Century Gothic" w:hAnsi="Century Gothic" w:cs="Times New Roman"/>
        </w:rPr>
        <w:t xml:space="preserve">særlig § 15 og § 27) og etiske regler for leger (se særlig </w:t>
      </w:r>
      <w:proofErr w:type="spellStart"/>
      <w:r w:rsidRPr="00635733">
        <w:rPr>
          <w:rFonts w:ascii="Century Gothic" w:hAnsi="Century Gothic" w:cs="Times New Roman"/>
        </w:rPr>
        <w:t>kap</w:t>
      </w:r>
      <w:proofErr w:type="spellEnd"/>
      <w:r w:rsidRPr="00635733">
        <w:rPr>
          <w:rFonts w:ascii="Century Gothic" w:hAnsi="Century Gothic" w:cs="Times New Roman"/>
        </w:rPr>
        <w:t>. IV).</w:t>
      </w:r>
    </w:p>
    <w:p w14:paraId="073D499B" w14:textId="77777777" w:rsidR="00890148" w:rsidRPr="009F780D" w:rsidRDefault="00890148" w:rsidP="00890148">
      <w:pPr>
        <w:rPr>
          <w:rFonts w:ascii="Century Gothic" w:hAnsi="Century Gothic" w:cs="Times New Roman"/>
          <w:color w:val="FF0000"/>
        </w:rPr>
      </w:pPr>
      <w:r w:rsidRPr="00635733">
        <w:rPr>
          <w:rFonts w:ascii="Century Gothic" w:hAnsi="Century Gothic" w:cs="Times New Roman"/>
        </w:rPr>
        <w:t>Som utgangspunkt for vurderingen skal spesialisten legge til grunn at det har funnet sted en straffbar handling som omfattes av voldsoffererstatningsloven § 1, og som er lagt til grunn i Kontorets vedtak i saken.</w:t>
      </w:r>
      <w:r w:rsidRPr="00983754">
        <w:t xml:space="preserve"> </w:t>
      </w:r>
      <w:r w:rsidRPr="00983754">
        <w:rPr>
          <w:rFonts w:ascii="Century Gothic" w:hAnsi="Century Gothic"/>
        </w:rPr>
        <w:t>Spesialisten skal ta utgangspunkt i det forholdet som er funnet klart sannsynliggjort i vedtak fra Kontoret for voldsoffererstatning. Forhold som ikke er funnet klart sannsynliggjort i Kontorets vedtak, skal som hovedregel ikke vurderes. Dersom slike forhold allikevel tas med i erklæringen, skal dette fremgå klart av erklæringen, og handlingene skal ikke inngå i vurderingen av skaderelatert medisinsk invaliditet.</w:t>
      </w:r>
      <w:r>
        <w:t xml:space="preserve"> </w:t>
      </w:r>
      <w:r w:rsidRPr="00635733">
        <w:rPr>
          <w:rFonts w:ascii="Century Gothic" w:hAnsi="Century Gothic" w:cs="Times New Roman"/>
        </w:rPr>
        <w:t xml:space="preserve"> </w:t>
      </w:r>
    </w:p>
    <w:p w14:paraId="553D728F" w14:textId="77777777" w:rsidR="00890148" w:rsidRPr="00635733" w:rsidRDefault="00890148" w:rsidP="00890148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Erklæringen skal belyse eventuelle skader, somatiske eller psykiske, som følge av hendelsen. Det bør gå klart frem av de enkelte utsagn i erklæringen, om de bygger på skadelidtes fremstilling, bakgrunnsinformasjonen i saken, eller den sakkyndiges egen vurdering. Ved bruk av latinske og medisinske fagbegrep, skal disse forklares i fotnote.</w:t>
      </w:r>
    </w:p>
    <w:p w14:paraId="3AF8161A" w14:textId="77777777" w:rsidR="00D75299" w:rsidRPr="00635733" w:rsidRDefault="00D75299" w:rsidP="000F43A9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Som hovedregel bør ikke utredende spesialist ha en behandlingsrelasjon til søke</w:t>
      </w:r>
      <w:r w:rsidR="00D71A6B" w:rsidRPr="00635733">
        <w:rPr>
          <w:rFonts w:ascii="Century Gothic" w:hAnsi="Century Gothic" w:cs="Times New Roman"/>
        </w:rPr>
        <w:t>ren. Der hvor dette er tilfelle</w:t>
      </w:r>
      <w:r w:rsidRPr="00635733">
        <w:rPr>
          <w:rFonts w:ascii="Century Gothic" w:hAnsi="Century Gothic" w:cs="Times New Roman"/>
        </w:rPr>
        <w:t xml:space="preserve"> så bør det fremgå av erklæringen</w:t>
      </w:r>
      <w:r w:rsidR="00D71A6B" w:rsidRPr="00635733">
        <w:rPr>
          <w:rFonts w:ascii="Century Gothic" w:hAnsi="Century Gothic" w:cs="Times New Roman"/>
        </w:rPr>
        <w:t>,</w:t>
      </w:r>
      <w:r w:rsidRPr="00635733">
        <w:rPr>
          <w:rFonts w:ascii="Century Gothic" w:hAnsi="Century Gothic" w:cs="Times New Roman"/>
        </w:rPr>
        <w:t xml:space="preserve"> og det bør også fremgå om det er særlige grunner til at behandler forestår utredningsoppdraget. </w:t>
      </w:r>
    </w:p>
    <w:p w14:paraId="5A74C7C6" w14:textId="77777777" w:rsidR="00286E42" w:rsidRPr="00635733" w:rsidRDefault="00D71A6B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>Erklæringen skal beskrive</w:t>
      </w:r>
    </w:p>
    <w:p w14:paraId="4D20F017" w14:textId="77777777" w:rsidR="00286E42" w:rsidRPr="00635733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proofErr w:type="gramStart"/>
      <w:r w:rsidRPr="00635733">
        <w:rPr>
          <w:rFonts w:ascii="Century Gothic" w:hAnsi="Century Gothic" w:cs="Times New Roman"/>
        </w:rPr>
        <w:t>skadelidt</w:t>
      </w:r>
      <w:r w:rsidR="00D71A6B" w:rsidRPr="00635733">
        <w:rPr>
          <w:rFonts w:ascii="Century Gothic" w:hAnsi="Century Gothic" w:cs="Times New Roman"/>
        </w:rPr>
        <w:t>es</w:t>
      </w:r>
      <w:proofErr w:type="gramEnd"/>
      <w:r w:rsidR="00D71A6B" w:rsidRPr="00635733">
        <w:rPr>
          <w:rFonts w:ascii="Century Gothic" w:hAnsi="Century Gothic" w:cs="Times New Roman"/>
        </w:rPr>
        <w:t xml:space="preserve"> familiære og sosiale forhold</w:t>
      </w:r>
      <w:r w:rsidRPr="00635733">
        <w:rPr>
          <w:rFonts w:ascii="Century Gothic" w:hAnsi="Century Gothic" w:cs="Times New Roman"/>
        </w:rPr>
        <w:t xml:space="preserve"> de siste årene fø</w:t>
      </w:r>
      <w:r w:rsidR="00C74D5D" w:rsidRPr="00635733">
        <w:rPr>
          <w:rFonts w:ascii="Century Gothic" w:hAnsi="Century Gothic" w:cs="Times New Roman"/>
        </w:rPr>
        <w:t>r voldshendelsen</w:t>
      </w:r>
      <w:r w:rsidR="00E830F8" w:rsidRPr="00635733">
        <w:rPr>
          <w:rFonts w:ascii="Century Gothic" w:hAnsi="Century Gothic" w:cs="Times New Roman"/>
        </w:rPr>
        <w:t xml:space="preserve"> fant sted </w:t>
      </w:r>
    </w:p>
    <w:p w14:paraId="03A7712F" w14:textId="77777777" w:rsidR="00286E42" w:rsidRPr="00635733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proofErr w:type="gramStart"/>
      <w:r w:rsidRPr="00635733">
        <w:rPr>
          <w:rFonts w:ascii="Century Gothic" w:hAnsi="Century Gothic" w:cs="Times New Roman"/>
        </w:rPr>
        <w:t>skadelidtes</w:t>
      </w:r>
      <w:proofErr w:type="gramEnd"/>
      <w:r w:rsidRPr="00635733">
        <w:rPr>
          <w:rFonts w:ascii="Century Gothic" w:hAnsi="Century Gothic" w:cs="Times New Roman"/>
        </w:rPr>
        <w:t xml:space="preserve"> </w:t>
      </w:r>
      <w:r w:rsidR="00D75299" w:rsidRPr="00635733">
        <w:rPr>
          <w:rFonts w:ascii="Century Gothic" w:hAnsi="Century Gothic" w:cs="Times New Roman"/>
        </w:rPr>
        <w:t>yrkes- og utdanningsforhold</w:t>
      </w:r>
    </w:p>
    <w:p w14:paraId="49ADCED9" w14:textId="77777777" w:rsidR="00286E42" w:rsidRPr="00635733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proofErr w:type="gramStart"/>
      <w:r w:rsidRPr="00635733">
        <w:rPr>
          <w:rFonts w:ascii="Century Gothic" w:hAnsi="Century Gothic" w:cs="Times New Roman"/>
        </w:rPr>
        <w:t>skadelidtes</w:t>
      </w:r>
      <w:proofErr w:type="gramEnd"/>
      <w:r w:rsidRPr="00635733">
        <w:rPr>
          <w:rFonts w:ascii="Century Gothic" w:hAnsi="Century Gothic" w:cs="Times New Roman"/>
        </w:rPr>
        <w:t xml:space="preserve"> syke- og trygdehistorie, med særlig vekt på skadelidtes helsemessige situasjon på skadetidspunktet</w:t>
      </w:r>
    </w:p>
    <w:p w14:paraId="2BE52C35" w14:textId="77777777" w:rsidR="00286E42" w:rsidRPr="00635733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proofErr w:type="gramStart"/>
      <w:r w:rsidRPr="00635733">
        <w:rPr>
          <w:rFonts w:ascii="Century Gothic" w:hAnsi="Century Gothic" w:cs="Times New Roman"/>
        </w:rPr>
        <w:t>symptomutvikling</w:t>
      </w:r>
      <w:proofErr w:type="gramEnd"/>
      <w:r w:rsidRPr="00635733">
        <w:rPr>
          <w:rFonts w:ascii="Century Gothic" w:hAnsi="Century Gothic" w:cs="Times New Roman"/>
        </w:rPr>
        <w:t xml:space="preserve"> fra skadetidspunktet og frem til dags dato</w:t>
      </w:r>
    </w:p>
    <w:p w14:paraId="11DDAAC6" w14:textId="77777777" w:rsidR="00286E42" w:rsidRPr="00635733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de faktiske forhold ved voldsskaden som er relevante for erklæringens konklusjoner</w:t>
      </w:r>
    </w:p>
    <w:p w14:paraId="7FED2646" w14:textId="77777777" w:rsidR="004F1618" w:rsidRPr="00635733" w:rsidRDefault="004F1618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proofErr w:type="gramStart"/>
      <w:r w:rsidRPr="00635733">
        <w:rPr>
          <w:rFonts w:ascii="Century Gothic" w:hAnsi="Century Gothic" w:cs="Times New Roman"/>
        </w:rPr>
        <w:t>funn</w:t>
      </w:r>
      <w:proofErr w:type="gramEnd"/>
      <w:r w:rsidRPr="00635733">
        <w:rPr>
          <w:rFonts w:ascii="Century Gothic" w:hAnsi="Century Gothic" w:cs="Times New Roman"/>
        </w:rPr>
        <w:t xml:space="preserve"> ved klinisk undersøkelse</w:t>
      </w:r>
      <w:r w:rsidR="00E830F8" w:rsidRPr="00635733">
        <w:rPr>
          <w:rFonts w:ascii="Century Gothic" w:hAnsi="Century Gothic" w:cs="Times New Roman"/>
        </w:rPr>
        <w:t>,</w:t>
      </w:r>
      <w:r w:rsidRPr="00635733">
        <w:rPr>
          <w:rFonts w:ascii="Century Gothic" w:hAnsi="Century Gothic" w:cs="Times New Roman"/>
        </w:rPr>
        <w:t xml:space="preserve"> og resultater av evt. supplerende undersøkelser</w:t>
      </w:r>
    </w:p>
    <w:p w14:paraId="47E23C0C" w14:textId="77777777" w:rsidR="004F1618" w:rsidRPr="00635733" w:rsidRDefault="004F1618" w:rsidP="004F1618">
      <w:pPr>
        <w:pStyle w:val="Listeavsnitt"/>
        <w:ind w:left="0"/>
        <w:rPr>
          <w:rFonts w:ascii="Century Gothic" w:hAnsi="Century Gothic" w:cs="Times New Roman"/>
        </w:rPr>
      </w:pPr>
    </w:p>
    <w:p w14:paraId="4D26727F" w14:textId="77777777" w:rsidR="004F1618" w:rsidRPr="00635733" w:rsidRDefault="004F1618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>Vurdering av årsaksforhold</w:t>
      </w:r>
    </w:p>
    <w:p w14:paraId="57035FAE" w14:textId="77777777" w:rsidR="004F1618" w:rsidRPr="00635733" w:rsidRDefault="004F1618" w:rsidP="004F1618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Erklæringen skal inneholde en begrunnet vurdering av hvorvidt funnene og de subjektive symptomene etter voldshendelsen, i sin helhet kan relateres til den aktuelle hendelse</w:t>
      </w:r>
      <w:r w:rsidR="00E232DB">
        <w:rPr>
          <w:rFonts w:ascii="Century Gothic" w:hAnsi="Century Gothic" w:cs="Times New Roman"/>
        </w:rPr>
        <w:t>n</w:t>
      </w:r>
      <w:r w:rsidRPr="00635733">
        <w:rPr>
          <w:rFonts w:ascii="Century Gothic" w:hAnsi="Century Gothic" w:cs="Times New Roman"/>
        </w:rPr>
        <w:t>. Hvis det foreligger flere mulige årsaker til skadelidtes helsemessige plager, må samtlige mulige årsaker drøftes og vurderes i forhold til hverandre.</w:t>
      </w:r>
    </w:p>
    <w:p w14:paraId="377A857B" w14:textId="77777777" w:rsidR="004F1618" w:rsidRPr="00635733" w:rsidRDefault="004F1618" w:rsidP="004F1618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lastRenderedPageBreak/>
        <w:t xml:space="preserve">Sannsynligheten for årsakssammenheng må angis som større eller mindre enn 50 %. For at årsakssammenheng skal kunne konstateres, må det </w:t>
      </w:r>
      <w:proofErr w:type="spellStart"/>
      <w:r w:rsidRPr="00635733">
        <w:rPr>
          <w:rFonts w:ascii="Century Gothic" w:hAnsi="Century Gothic" w:cs="Times New Roman"/>
        </w:rPr>
        <w:t>mao</w:t>
      </w:r>
      <w:proofErr w:type="spellEnd"/>
      <w:r w:rsidRPr="00635733">
        <w:rPr>
          <w:rFonts w:ascii="Century Gothic" w:hAnsi="Century Gothic" w:cs="Times New Roman"/>
        </w:rPr>
        <w:t xml:space="preserve">. </w:t>
      </w:r>
      <w:proofErr w:type="gramStart"/>
      <w:r w:rsidRPr="00635733">
        <w:rPr>
          <w:rFonts w:ascii="Century Gothic" w:hAnsi="Century Gothic" w:cs="Times New Roman"/>
        </w:rPr>
        <w:t>fremstå</w:t>
      </w:r>
      <w:proofErr w:type="gramEnd"/>
      <w:r w:rsidRPr="00635733">
        <w:rPr>
          <w:rFonts w:ascii="Century Gothic" w:hAnsi="Century Gothic" w:cs="Times New Roman"/>
        </w:rPr>
        <w:t xml:space="preserve"> som mer sannsynlig at det foreligger årsakssammenheng, enn at det ikke gjør det.</w:t>
      </w:r>
    </w:p>
    <w:p w14:paraId="725F8F68" w14:textId="77777777" w:rsidR="00D2389A" w:rsidRPr="00635733" w:rsidRDefault="00D2389A" w:rsidP="004F1618">
      <w:pPr>
        <w:rPr>
          <w:rFonts w:ascii="Century Gothic" w:hAnsi="Century Gothic" w:cs="Times New Roman"/>
        </w:rPr>
      </w:pPr>
    </w:p>
    <w:p w14:paraId="570D6CCF" w14:textId="77777777" w:rsidR="00D71A6B" w:rsidRPr="00635733" w:rsidRDefault="00D71A6B" w:rsidP="004F1618">
      <w:pPr>
        <w:rPr>
          <w:rFonts w:ascii="Century Gothic" w:hAnsi="Century Gothic" w:cs="Times New Roman"/>
        </w:rPr>
      </w:pPr>
    </w:p>
    <w:p w14:paraId="39142DEC" w14:textId="77777777" w:rsidR="0089013B" w:rsidRPr="00635733" w:rsidRDefault="0089013B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>Diagnoser</w:t>
      </w:r>
    </w:p>
    <w:p w14:paraId="56327FB7" w14:textId="77777777" w:rsidR="0088243A" w:rsidRDefault="0089013B" w:rsidP="0088243A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Erklæringen skal angi aktuelle diagnose(r) basert på ICD-10.</w:t>
      </w:r>
      <w:r w:rsidR="0088243A" w:rsidRPr="0088243A">
        <w:rPr>
          <w:rFonts w:ascii="Century Gothic" w:hAnsi="Century Gothic" w:cs="Times New Roman"/>
        </w:rPr>
        <w:t xml:space="preserve"> </w:t>
      </w:r>
    </w:p>
    <w:p w14:paraId="6A5A662C" w14:textId="77777777" w:rsidR="0089013B" w:rsidRPr="00635733" w:rsidRDefault="0088243A" w:rsidP="0089013B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 xml:space="preserve">Erklæringen </w:t>
      </w:r>
      <w:r w:rsidRPr="00635733">
        <w:rPr>
          <w:rFonts w:ascii="Century Gothic" w:hAnsi="Century Gothic" w:cs="Times New Roman"/>
          <w:u w:val="single"/>
        </w:rPr>
        <w:t>skal</w:t>
      </w:r>
      <w:r w:rsidRPr="00635733">
        <w:rPr>
          <w:rFonts w:ascii="Century Gothic" w:hAnsi="Century Gothic" w:cs="Times New Roman"/>
        </w:rPr>
        <w:t xml:space="preserve"> gjøre en vurdering/utmåling av den varige skaderelaterte medisinske invaliditetsgrad i prosent. Utmålingen skal vise til aktuelle underpunkt(er) i invaliditetstabellen jf. forskrift om menerstatning ved yrkesskade (FOR 1997-04-21 </w:t>
      </w:r>
      <w:proofErr w:type="spellStart"/>
      <w:r w:rsidRPr="00635733">
        <w:rPr>
          <w:rFonts w:ascii="Century Gothic" w:hAnsi="Century Gothic" w:cs="Times New Roman"/>
        </w:rPr>
        <w:t>nr</w:t>
      </w:r>
      <w:proofErr w:type="spellEnd"/>
      <w:r w:rsidRPr="00635733">
        <w:rPr>
          <w:rFonts w:ascii="Century Gothic" w:hAnsi="Century Gothic" w:cs="Times New Roman"/>
        </w:rPr>
        <w:t xml:space="preserve"> 373). Utmålingen skal gjøres med en </w:t>
      </w:r>
      <w:r w:rsidRPr="00635733">
        <w:rPr>
          <w:rFonts w:ascii="Century Gothic" w:hAnsi="Century Gothic" w:cs="Times New Roman"/>
          <w:u w:val="single"/>
        </w:rPr>
        <w:t>presis prosentvis angivelse</w:t>
      </w:r>
      <w:r w:rsidRPr="00635733">
        <w:rPr>
          <w:rFonts w:ascii="Century Gothic" w:hAnsi="Century Gothic" w:cs="Times New Roman"/>
        </w:rPr>
        <w:t xml:space="preserve"> av invaliditeten. </w:t>
      </w:r>
    </w:p>
    <w:p w14:paraId="290E85E5" w14:textId="77777777" w:rsidR="0089013B" w:rsidRPr="00635733" w:rsidRDefault="0089013B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 xml:space="preserve"> Vurdering av skaderelatert medisinsk invaliditet</w:t>
      </w:r>
    </w:p>
    <w:p w14:paraId="2D3368DA" w14:textId="77777777" w:rsidR="004F1618" w:rsidRPr="00635733" w:rsidRDefault="0089013B" w:rsidP="0089013B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Med medisinsk invaliditet forstås den fysiske og/eller psykiske funksjonsnedsettelse</w:t>
      </w:r>
      <w:r w:rsidR="006B5EE0" w:rsidRPr="00635733">
        <w:rPr>
          <w:rFonts w:ascii="Century Gothic" w:hAnsi="Century Gothic" w:cs="Times New Roman"/>
        </w:rPr>
        <w:t xml:space="preserve"> som en bestemt personskade erfaringsvis forårsaker. Invaliditetsgraden skal fastsettes på objektivt grunnlag, uten hensyn til skadelidtes yrke, og eventuelle yrkesmessig</w:t>
      </w:r>
      <w:r w:rsidR="00C74D5D" w:rsidRPr="00635733">
        <w:rPr>
          <w:rFonts w:ascii="Century Gothic" w:hAnsi="Century Gothic" w:cs="Times New Roman"/>
        </w:rPr>
        <w:t>e</w:t>
      </w:r>
      <w:r w:rsidR="006B5EE0" w:rsidRPr="00635733">
        <w:rPr>
          <w:rFonts w:ascii="Century Gothic" w:hAnsi="Century Gothic" w:cs="Times New Roman"/>
        </w:rPr>
        <w:t xml:space="preserve"> uføregrad.</w:t>
      </w:r>
    </w:p>
    <w:p w14:paraId="284A31B0" w14:textId="77777777" w:rsidR="006B5EE0" w:rsidRPr="00635733" w:rsidRDefault="00476FB2" w:rsidP="0089013B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Varighetsspørsmålet – dvs. om skaden er varig eller ikke, skal klart fremgå av erklæringen. Hvis dette er unnlatt – eller uklart formulert, v</w:t>
      </w:r>
      <w:r w:rsidR="00D71A6B" w:rsidRPr="00635733">
        <w:rPr>
          <w:rFonts w:ascii="Century Gothic" w:hAnsi="Century Gothic" w:cs="Times New Roman"/>
        </w:rPr>
        <w:t>il spesialisten måtte påregne å</w:t>
      </w:r>
      <w:r w:rsidRPr="00635733">
        <w:rPr>
          <w:rFonts w:ascii="Century Gothic" w:hAnsi="Century Gothic" w:cs="Times New Roman"/>
        </w:rPr>
        <w:t xml:space="preserve"> avgi</w:t>
      </w:r>
      <w:r w:rsidR="00E232DB">
        <w:rPr>
          <w:rFonts w:ascii="Century Gothic" w:hAnsi="Century Gothic" w:cs="Times New Roman"/>
        </w:rPr>
        <w:t xml:space="preserve"> en</w:t>
      </w:r>
      <w:r w:rsidRPr="00635733">
        <w:rPr>
          <w:rFonts w:ascii="Century Gothic" w:hAnsi="Century Gothic" w:cs="Times New Roman"/>
        </w:rPr>
        <w:t xml:space="preserve"> tilleggserklæring om </w:t>
      </w:r>
      <w:r w:rsidR="00C74D5D" w:rsidRPr="00635733">
        <w:rPr>
          <w:rFonts w:ascii="Century Gothic" w:hAnsi="Century Gothic" w:cs="Times New Roman"/>
        </w:rPr>
        <w:t xml:space="preserve">spørsmålet innenfor den økonomiske </w:t>
      </w:r>
      <w:r w:rsidRPr="00635733">
        <w:rPr>
          <w:rFonts w:ascii="Century Gothic" w:hAnsi="Century Gothic" w:cs="Times New Roman"/>
        </w:rPr>
        <w:t>ramme</w:t>
      </w:r>
      <w:r w:rsidR="00E232DB">
        <w:rPr>
          <w:rFonts w:ascii="Century Gothic" w:hAnsi="Century Gothic" w:cs="Times New Roman"/>
        </w:rPr>
        <w:t>n</w:t>
      </w:r>
      <w:r w:rsidRPr="00635733">
        <w:rPr>
          <w:rFonts w:ascii="Century Gothic" w:hAnsi="Century Gothic" w:cs="Times New Roman"/>
        </w:rPr>
        <w:t xml:space="preserve"> som er fastsatt på forhånd, hvilket betyr at </w:t>
      </w:r>
      <w:proofErr w:type="spellStart"/>
      <w:r w:rsidRPr="00635733">
        <w:rPr>
          <w:rFonts w:ascii="Century Gothic" w:hAnsi="Century Gothic" w:cs="Times New Roman"/>
        </w:rPr>
        <w:t>tilleggshonorar</w:t>
      </w:r>
      <w:proofErr w:type="spellEnd"/>
      <w:r w:rsidRPr="00635733">
        <w:rPr>
          <w:rFonts w:ascii="Century Gothic" w:hAnsi="Century Gothic" w:cs="Times New Roman"/>
        </w:rPr>
        <w:t xml:space="preserve"> for å avklare varighetsspørsmålet ikke kan påregnes.</w:t>
      </w:r>
    </w:p>
    <w:p w14:paraId="4160F325" w14:textId="77777777" w:rsidR="00484D4F" w:rsidRPr="00635733" w:rsidRDefault="00A9018D" w:rsidP="0089013B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Varighetsspørsmålet skal inneho</w:t>
      </w:r>
      <w:r w:rsidR="004F7DA1" w:rsidRPr="00635733">
        <w:rPr>
          <w:rFonts w:ascii="Century Gothic" w:hAnsi="Century Gothic" w:cs="Times New Roman"/>
        </w:rPr>
        <w:t>lde en vurdering/prognose for om</w:t>
      </w:r>
      <w:r w:rsidRPr="00635733">
        <w:rPr>
          <w:rFonts w:ascii="Century Gothic" w:hAnsi="Century Gothic" w:cs="Times New Roman"/>
        </w:rPr>
        <w:t xml:space="preserve"> skadeomfanget og den skaderelaterte invaliditeten vil</w:t>
      </w:r>
      <w:r w:rsidR="004F7DA1" w:rsidRPr="00635733">
        <w:rPr>
          <w:rFonts w:ascii="Century Gothic" w:hAnsi="Century Gothic" w:cs="Times New Roman"/>
        </w:rPr>
        <w:t xml:space="preserve"> kunne</w:t>
      </w:r>
      <w:r w:rsidRPr="00635733">
        <w:rPr>
          <w:rFonts w:ascii="Century Gothic" w:hAnsi="Century Gothic" w:cs="Times New Roman"/>
        </w:rPr>
        <w:t xml:space="preserve"> endres positivt. Konklusjonen mht. varighet skal ta utgangspunkt i om varigheten av invaliditeten er </w:t>
      </w:r>
      <w:r w:rsidR="00FB6ECB" w:rsidRPr="00635733">
        <w:rPr>
          <w:rFonts w:ascii="Century Gothic" w:hAnsi="Century Gothic" w:cs="Times New Roman"/>
        </w:rPr>
        <w:t>mini</w:t>
      </w:r>
      <w:r w:rsidR="00E232DB">
        <w:rPr>
          <w:rFonts w:ascii="Century Gothic" w:hAnsi="Century Gothic" w:cs="Times New Roman"/>
        </w:rPr>
        <w:t xml:space="preserve">mum 10 år – jf. Rt-2003-841, og </w:t>
      </w:r>
      <w:r w:rsidR="00D75299" w:rsidRPr="00635733">
        <w:rPr>
          <w:rFonts w:ascii="Century Gothic" w:hAnsi="Century Gothic" w:cs="Times New Roman"/>
        </w:rPr>
        <w:t xml:space="preserve">varigheten av den medisinske invaliditeten skal telles fra </w:t>
      </w:r>
      <w:r w:rsidR="00FB6ECB" w:rsidRPr="00635733">
        <w:rPr>
          <w:rFonts w:ascii="Century Gothic" w:hAnsi="Century Gothic" w:cs="Times New Roman"/>
        </w:rPr>
        <w:t>den dato skaden oppsto.</w:t>
      </w:r>
    </w:p>
    <w:p w14:paraId="3F5CB3D9" w14:textId="77777777" w:rsidR="007B6238" w:rsidRPr="00635733" w:rsidRDefault="007B6238" w:rsidP="0089013B">
      <w:pPr>
        <w:rPr>
          <w:rFonts w:ascii="Century Gothic" w:hAnsi="Century Gothic"/>
        </w:rPr>
      </w:pPr>
      <w:r w:rsidRPr="00635733">
        <w:rPr>
          <w:rFonts w:ascii="Century Gothic" w:hAnsi="Century Gothic"/>
          <w:bCs/>
          <w:iCs/>
        </w:rPr>
        <w:t xml:space="preserve">Det gjøres særlig oppmerksom på at søker </w:t>
      </w:r>
      <w:r w:rsidRPr="00635733">
        <w:rPr>
          <w:rFonts w:ascii="Century Gothic" w:hAnsi="Century Gothic"/>
          <w:bCs/>
          <w:iCs/>
          <w:u w:val="single"/>
        </w:rPr>
        <w:t xml:space="preserve">skal </w:t>
      </w:r>
      <w:r w:rsidRPr="00635733">
        <w:rPr>
          <w:rFonts w:ascii="Century Gothic" w:hAnsi="Century Gothic"/>
          <w:bCs/>
          <w:iCs/>
        </w:rPr>
        <w:t xml:space="preserve">ha gjennomgått adekvat behandling før det kan søkes erstatning for varig </w:t>
      </w:r>
      <w:proofErr w:type="spellStart"/>
      <w:r w:rsidRPr="00635733">
        <w:rPr>
          <w:rFonts w:ascii="Century Gothic" w:hAnsi="Century Gothic"/>
          <w:bCs/>
          <w:iCs/>
        </w:rPr>
        <w:t>mèn</w:t>
      </w:r>
      <w:proofErr w:type="spellEnd"/>
      <w:r w:rsidRPr="00635733">
        <w:rPr>
          <w:rFonts w:ascii="Century Gothic" w:hAnsi="Century Gothic"/>
          <w:bCs/>
          <w:iCs/>
        </w:rPr>
        <w:t>. Med adekvat behandling menes behandling i spesialisthelsetjenesten. Behandlingen skal dokumenteres ved epikrise</w:t>
      </w:r>
      <w:r w:rsidR="00422F9A" w:rsidRPr="00635733">
        <w:rPr>
          <w:rFonts w:ascii="Century Gothic" w:hAnsi="Century Gothic"/>
          <w:bCs/>
          <w:iCs/>
        </w:rPr>
        <w:t xml:space="preserve">. </w:t>
      </w:r>
      <w:r w:rsidRPr="00635733">
        <w:rPr>
          <w:rFonts w:ascii="Century Gothic" w:hAnsi="Century Gothic"/>
          <w:bCs/>
          <w:iCs/>
        </w:rPr>
        <w:t>Kontoret for voldsoffererstatni</w:t>
      </w:r>
      <w:r w:rsidR="00703734" w:rsidRPr="00635733">
        <w:rPr>
          <w:rFonts w:ascii="Century Gothic" w:hAnsi="Century Gothic"/>
          <w:bCs/>
          <w:iCs/>
        </w:rPr>
        <w:t>ng forbeholder seg retten til - på selvstendig grunnlag - å ta</w:t>
      </w:r>
      <w:r w:rsidRPr="00635733">
        <w:rPr>
          <w:rFonts w:ascii="Century Gothic" w:hAnsi="Century Gothic"/>
          <w:bCs/>
          <w:iCs/>
        </w:rPr>
        <w:t xml:space="preserve"> stilling til om behandlingen har vært adekvat.</w:t>
      </w:r>
    </w:p>
    <w:p w14:paraId="626C6AC4" w14:textId="6EAF08BF" w:rsidR="00AD0842" w:rsidRPr="000454DB" w:rsidRDefault="00AD0842" w:rsidP="0089013B">
      <w:pPr>
        <w:rPr>
          <w:rFonts w:ascii="Century Gothic" w:hAnsi="Century Gothic" w:cs="Times New Roman"/>
        </w:rPr>
      </w:pPr>
      <w:r w:rsidRPr="000454DB">
        <w:rPr>
          <w:rFonts w:ascii="Century Gothic" w:hAnsi="Century Gothic" w:cs="Times New Roman"/>
          <w:b/>
        </w:rPr>
        <w:t xml:space="preserve">«Inngangsinvaliditet:» </w:t>
      </w:r>
      <w:r w:rsidRPr="000454DB">
        <w:rPr>
          <w:rFonts w:ascii="Century Gothic" w:hAnsi="Century Gothic" w:cs="Times New Roman"/>
        </w:rPr>
        <w:t xml:space="preserve">Det </w:t>
      </w:r>
      <w:r w:rsidRPr="000454DB">
        <w:rPr>
          <w:rFonts w:ascii="Century Gothic" w:hAnsi="Century Gothic" w:cs="Times New Roman"/>
          <w:u w:val="single"/>
        </w:rPr>
        <w:t>skal</w:t>
      </w:r>
      <w:r w:rsidRPr="000454DB">
        <w:rPr>
          <w:rFonts w:ascii="Century Gothic" w:hAnsi="Century Gothic" w:cs="Times New Roman"/>
        </w:rPr>
        <w:t xml:space="preserve"> fremgå om skadelidtes tilstand er preget av ikke-skaderelaterte lidelser/tilstander. Det skal gjøres </w:t>
      </w:r>
      <w:r w:rsidR="00E232DB" w:rsidRPr="000454DB">
        <w:rPr>
          <w:rFonts w:ascii="Century Gothic" w:hAnsi="Century Gothic" w:cs="Times New Roman"/>
        </w:rPr>
        <w:t xml:space="preserve">en </w:t>
      </w:r>
      <w:r w:rsidRPr="000454DB">
        <w:rPr>
          <w:rFonts w:ascii="Century Gothic" w:hAnsi="Century Gothic" w:cs="Times New Roman"/>
        </w:rPr>
        <w:t xml:space="preserve">konkret vurdering av inngangsinvaliditeten, og der det konkluderes med at skadelidte har lidelser/tilstander som ikke er relatert til </w:t>
      </w:r>
      <w:r w:rsidR="000454DB" w:rsidRPr="000454DB">
        <w:rPr>
          <w:rFonts w:ascii="Century Gothic" w:hAnsi="Century Gothic" w:cs="Times New Roman"/>
        </w:rPr>
        <w:t xml:space="preserve">den </w:t>
      </w:r>
      <w:r w:rsidRPr="000454DB">
        <w:rPr>
          <w:rFonts w:ascii="Century Gothic" w:hAnsi="Century Gothic" w:cs="Times New Roman"/>
        </w:rPr>
        <w:t>aktuelle voldsskade</w:t>
      </w:r>
      <w:r w:rsidR="000454DB" w:rsidRPr="000454DB">
        <w:rPr>
          <w:rFonts w:ascii="Century Gothic" w:hAnsi="Century Gothic" w:cs="Times New Roman"/>
        </w:rPr>
        <w:t>n</w:t>
      </w:r>
      <w:r w:rsidRPr="000454DB">
        <w:rPr>
          <w:rFonts w:ascii="Century Gothic" w:hAnsi="Century Gothic" w:cs="Times New Roman"/>
        </w:rPr>
        <w:t>, så skal innga</w:t>
      </w:r>
      <w:r w:rsidR="00322F16" w:rsidRPr="000454DB">
        <w:rPr>
          <w:rFonts w:ascii="Century Gothic" w:hAnsi="Century Gothic" w:cs="Times New Roman"/>
        </w:rPr>
        <w:t>ngsinvaliditeten utmåles konkret</w:t>
      </w:r>
      <w:r w:rsidR="00E232DB" w:rsidRPr="000454DB">
        <w:rPr>
          <w:rFonts w:ascii="Century Gothic" w:hAnsi="Century Gothic" w:cs="Times New Roman"/>
        </w:rPr>
        <w:t xml:space="preserve">. </w:t>
      </w:r>
      <w:r w:rsidRPr="000454DB">
        <w:rPr>
          <w:rFonts w:ascii="Century Gothic" w:hAnsi="Century Gothic" w:cs="Times New Roman"/>
        </w:rPr>
        <w:t>Behovet for presis angivelse av den medisinske invaliditetsprosenten for inngangsinvaliditet, har s</w:t>
      </w:r>
      <w:r w:rsidR="00E232DB" w:rsidRPr="000454DB">
        <w:rPr>
          <w:rFonts w:ascii="Century Gothic" w:hAnsi="Century Gothic" w:cs="Times New Roman"/>
        </w:rPr>
        <w:t>in bakgrunn i Høyesteretts dom</w:t>
      </w:r>
      <w:r w:rsidRPr="000454DB">
        <w:rPr>
          <w:rFonts w:ascii="Century Gothic" w:hAnsi="Century Gothic" w:cs="Times New Roman"/>
        </w:rPr>
        <w:t xml:space="preserve"> RT-2015-820. Her fastslår Høyesterett at utmåling av m</w:t>
      </w:r>
      <w:r w:rsidR="00E232DB" w:rsidRPr="000454DB">
        <w:rPr>
          <w:rFonts w:ascii="Century Gothic" w:hAnsi="Century Gothic" w:cs="Times New Roman"/>
        </w:rPr>
        <w:t>e</w:t>
      </w:r>
      <w:r w:rsidRPr="000454DB">
        <w:rPr>
          <w:rFonts w:ascii="Century Gothic" w:hAnsi="Century Gothic" w:cs="Times New Roman"/>
        </w:rPr>
        <w:t xml:space="preserve">nerstatning, </w:t>
      </w:r>
      <w:r w:rsidRPr="000454DB">
        <w:rPr>
          <w:rFonts w:ascii="Century Gothic" w:hAnsi="Century Gothic" w:cs="Times New Roman"/>
        </w:rPr>
        <w:lastRenderedPageBreak/>
        <w:t xml:space="preserve">i saker der inngangsinvaliditet forekommer, skal skje etter differanseprinsippet. </w:t>
      </w:r>
      <w:r w:rsidR="00E232DB" w:rsidRPr="000454DB">
        <w:rPr>
          <w:rFonts w:ascii="Century Gothic" w:hAnsi="Century Gothic" w:cs="Times New Roman"/>
        </w:rPr>
        <w:t xml:space="preserve">Dette betyr at erstatningen skal fastsettes ut fra differansen mellom den medisinske invaliditeten etter skaden og den invaliditet som grunnskaden isolert sett hadde utgjort. </w:t>
      </w:r>
      <w:r w:rsidRPr="000454DB">
        <w:rPr>
          <w:rFonts w:ascii="Century Gothic" w:hAnsi="Century Gothic" w:cs="Times New Roman"/>
        </w:rPr>
        <w:t xml:space="preserve">Denne utmålingsformen betinger presis angivelse av inngangsinvaliditeten. </w:t>
      </w:r>
      <w:r w:rsidR="00322F16" w:rsidRPr="000454DB">
        <w:rPr>
          <w:rFonts w:ascii="Century Gothic" w:hAnsi="Century Gothic" w:cs="Times New Roman"/>
        </w:rPr>
        <w:t xml:space="preserve">Utmålingen av inngangsinvaliditeten skal vise til aktuelle underpunkt(er) i invaliditetstabellen jf. forskrift om menerstatning ved yrkesskade (FOR 1997-04-21 </w:t>
      </w:r>
      <w:proofErr w:type="spellStart"/>
      <w:r w:rsidR="00322F16" w:rsidRPr="000454DB">
        <w:rPr>
          <w:rFonts w:ascii="Century Gothic" w:hAnsi="Century Gothic" w:cs="Times New Roman"/>
        </w:rPr>
        <w:t>nr</w:t>
      </w:r>
      <w:proofErr w:type="spellEnd"/>
      <w:r w:rsidR="00322F16" w:rsidRPr="000454DB">
        <w:rPr>
          <w:rFonts w:ascii="Century Gothic" w:hAnsi="Century Gothic" w:cs="Times New Roman"/>
        </w:rPr>
        <w:t xml:space="preserve"> 373). Utmålingen skal gjøres med en </w:t>
      </w:r>
      <w:r w:rsidR="00322F16" w:rsidRPr="000454DB">
        <w:rPr>
          <w:rFonts w:ascii="Century Gothic" w:hAnsi="Century Gothic" w:cs="Times New Roman"/>
          <w:u w:val="single"/>
        </w:rPr>
        <w:t>presis prosentvis angivelse</w:t>
      </w:r>
      <w:r w:rsidR="00322F16" w:rsidRPr="000454DB">
        <w:rPr>
          <w:rFonts w:ascii="Century Gothic" w:hAnsi="Century Gothic" w:cs="Times New Roman"/>
        </w:rPr>
        <w:t xml:space="preserve"> av inngangsinvaliditeten.</w:t>
      </w:r>
    </w:p>
    <w:p w14:paraId="7448C05C" w14:textId="77777777" w:rsidR="004F7DA1" w:rsidRPr="00635733" w:rsidRDefault="004F7DA1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>Funksjonsvurdering</w:t>
      </w:r>
    </w:p>
    <w:p w14:paraId="26087D7D" w14:textId="77777777" w:rsidR="004F7DA1" w:rsidRPr="00635733" w:rsidRDefault="004F7DA1" w:rsidP="004F7DA1">
      <w:pPr>
        <w:pStyle w:val="Listeavsnitt"/>
        <w:ind w:left="360"/>
        <w:rPr>
          <w:rFonts w:ascii="Century Gothic" w:hAnsi="Century Gothic" w:cs="Times New Roman"/>
          <w:b/>
        </w:rPr>
      </w:pPr>
    </w:p>
    <w:p w14:paraId="2EC2E5D3" w14:textId="77777777" w:rsidR="004F7DA1" w:rsidRPr="00635733" w:rsidRDefault="004F7DA1" w:rsidP="004F7DA1">
      <w:pPr>
        <w:pStyle w:val="Listeavsnitt"/>
        <w:ind w:left="0"/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 xml:space="preserve">Der oppdraget – i tillegg til ovenstående – også konkret omhandler å klargjøre skadelidtes funksjonsnivå mht. arbeid, utdanning </w:t>
      </w:r>
      <w:r w:rsidR="0063307F" w:rsidRPr="00635733">
        <w:rPr>
          <w:rFonts w:ascii="Century Gothic" w:hAnsi="Century Gothic" w:cs="Times New Roman"/>
        </w:rPr>
        <w:t>og annen funksjonsevne/mestring, så skal dette gjøres separat fra utredningens del om skaderelatert medisinsk invaliditet.</w:t>
      </w:r>
    </w:p>
    <w:p w14:paraId="05F79916" w14:textId="77777777" w:rsidR="004F7DA1" w:rsidRPr="00635733" w:rsidRDefault="004F7DA1" w:rsidP="004F7DA1">
      <w:pPr>
        <w:pStyle w:val="Listeavsnitt"/>
        <w:ind w:left="0"/>
        <w:rPr>
          <w:rFonts w:ascii="Century Gothic" w:hAnsi="Century Gothic" w:cs="Times New Roman"/>
        </w:rPr>
      </w:pPr>
    </w:p>
    <w:p w14:paraId="06B894C5" w14:textId="77777777" w:rsidR="004F7DA1" w:rsidRPr="00635733" w:rsidRDefault="004F7DA1" w:rsidP="004F7DA1">
      <w:pPr>
        <w:pStyle w:val="Listeavsnitt"/>
        <w:ind w:left="0"/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 xml:space="preserve">Funksjonsvurderingen, på medisinsk grunnlag, vil ligge til grunn for erstatningsutmåling innenfor områdene inntektstap og/eller erstatning for tapt evne til arbeid i hjemmet. </w:t>
      </w:r>
    </w:p>
    <w:p w14:paraId="723010BF" w14:textId="77777777" w:rsidR="0063307F" w:rsidRPr="00635733" w:rsidRDefault="0063307F" w:rsidP="004F7DA1">
      <w:pPr>
        <w:pStyle w:val="Listeavsnitt"/>
        <w:ind w:left="0"/>
        <w:rPr>
          <w:rFonts w:ascii="Century Gothic" w:hAnsi="Century Gothic" w:cs="Times New Roman"/>
        </w:rPr>
      </w:pPr>
    </w:p>
    <w:p w14:paraId="38FF5EA8" w14:textId="77777777" w:rsidR="0063307F" w:rsidRPr="00635733" w:rsidRDefault="0063307F" w:rsidP="004F7DA1">
      <w:pPr>
        <w:pStyle w:val="Listeavsnitt"/>
        <w:ind w:left="0"/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Dersom skadeli</w:t>
      </w:r>
      <w:r w:rsidR="00E232DB">
        <w:rPr>
          <w:rFonts w:ascii="Century Gothic" w:hAnsi="Century Gothic" w:cs="Times New Roman"/>
        </w:rPr>
        <w:t>dtes tilstand er preget av ikke-</w:t>
      </w:r>
      <w:r w:rsidRPr="00635733">
        <w:rPr>
          <w:rFonts w:ascii="Century Gothic" w:hAnsi="Century Gothic" w:cs="Times New Roman"/>
        </w:rPr>
        <w:t>skaderelaterte lidelser, ønskes både en vurdering av den skaderelaterte funksjonsnedsettelsen og den samlede funksjonsnedsettelsen.</w:t>
      </w:r>
    </w:p>
    <w:p w14:paraId="37DF22D5" w14:textId="77777777" w:rsidR="0063307F" w:rsidRPr="00635733" w:rsidRDefault="0063307F" w:rsidP="004F7DA1">
      <w:pPr>
        <w:pStyle w:val="Listeavsnitt"/>
        <w:ind w:left="0"/>
        <w:rPr>
          <w:rFonts w:ascii="Century Gothic" w:hAnsi="Century Gothic" w:cs="Times New Roman"/>
        </w:rPr>
      </w:pPr>
    </w:p>
    <w:p w14:paraId="06480A04" w14:textId="77777777" w:rsidR="0063307F" w:rsidRPr="00635733" w:rsidRDefault="0063307F" w:rsidP="004F7DA1">
      <w:pPr>
        <w:pStyle w:val="Listeavsnitt"/>
        <w:ind w:left="0"/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Det stilles ikke noe krav om en fastsetting av yrkesmessig eller ervervsmessig uførhet i prosent, men de medisinske premissene for funksjonsvurderingen skal fremgå</w:t>
      </w:r>
      <w:r w:rsidR="00E232DB">
        <w:rPr>
          <w:rFonts w:ascii="Century Gothic" w:hAnsi="Century Gothic" w:cs="Times New Roman"/>
        </w:rPr>
        <w:t xml:space="preserve"> av erklæringen</w:t>
      </w:r>
      <w:r w:rsidRPr="00635733">
        <w:rPr>
          <w:rFonts w:ascii="Century Gothic" w:hAnsi="Century Gothic" w:cs="Times New Roman"/>
        </w:rPr>
        <w:t xml:space="preserve">. </w:t>
      </w:r>
    </w:p>
    <w:p w14:paraId="14B4FD9E" w14:textId="77777777" w:rsidR="00F54E8C" w:rsidRPr="00635733" w:rsidRDefault="00F54E8C" w:rsidP="004F7DA1">
      <w:pPr>
        <w:pStyle w:val="Listeavsnitt"/>
        <w:ind w:left="0"/>
        <w:rPr>
          <w:rFonts w:ascii="Century Gothic" w:hAnsi="Century Gothic" w:cs="Times New Roman"/>
        </w:rPr>
      </w:pPr>
    </w:p>
    <w:p w14:paraId="7E7258C8" w14:textId="77777777" w:rsidR="0063307F" w:rsidRPr="00635733" w:rsidRDefault="0063307F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>Særlige behov</w:t>
      </w:r>
    </w:p>
    <w:p w14:paraId="03C4EE51" w14:textId="77777777" w:rsidR="00D75299" w:rsidRPr="00635733" w:rsidRDefault="0063307F" w:rsidP="00D75299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 xml:space="preserve">Dersom skadelidte kan ha nytte av </w:t>
      </w:r>
      <w:r w:rsidR="00D2389A" w:rsidRPr="00635733">
        <w:rPr>
          <w:rFonts w:ascii="Century Gothic" w:hAnsi="Century Gothic" w:cs="Times New Roman"/>
        </w:rPr>
        <w:t>medisinsk behandling eller annen bistand til å forbedre, lindre eller opprettholde sin helsemessige situasjon, bes det redegjort for type, omfang og varighet.</w:t>
      </w:r>
    </w:p>
    <w:p w14:paraId="34F73E11" w14:textId="77777777" w:rsidR="00D2389A" w:rsidRPr="00635733" w:rsidRDefault="00D2389A" w:rsidP="00D2389A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635733">
        <w:rPr>
          <w:rFonts w:ascii="Century Gothic" w:hAnsi="Century Gothic" w:cs="Times New Roman"/>
          <w:b/>
        </w:rPr>
        <w:t>Oppsummering</w:t>
      </w:r>
    </w:p>
    <w:p w14:paraId="0C14E533" w14:textId="77777777" w:rsidR="00D2389A" w:rsidRPr="00635733" w:rsidRDefault="00D2389A" w:rsidP="00F54E8C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Vurdering/konklusjon vedrørende årsakssammenheng mellom voldshendelsen og skadelidtes helsemessige tilstand, er obligatorisk del av utredningen.</w:t>
      </w:r>
    </w:p>
    <w:p w14:paraId="18A992E5" w14:textId="77777777" w:rsidR="00D2389A" w:rsidRPr="00635733" w:rsidRDefault="00D2389A" w:rsidP="00F54E8C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Det samme gjelder vurdering/konklusjon vedrørende varighetsspørsmålet, og spørsmål om eventuell inngangsinvaliditet.</w:t>
      </w:r>
    </w:p>
    <w:p w14:paraId="3C752BF7" w14:textId="77777777" w:rsidR="00D2389A" w:rsidRPr="00635733" w:rsidRDefault="00D2389A" w:rsidP="00F54E8C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</w:rPr>
        <w:t>Hvis utredningen skal omhandle temaer knyttet til pkt. 6 og/eller pkt</w:t>
      </w:r>
      <w:r w:rsidR="00E232DB">
        <w:rPr>
          <w:rFonts w:ascii="Century Gothic" w:hAnsi="Century Gothic" w:cs="Times New Roman"/>
        </w:rPr>
        <w:t>.</w:t>
      </w:r>
      <w:r w:rsidRPr="00635733">
        <w:rPr>
          <w:rFonts w:ascii="Century Gothic" w:hAnsi="Century Gothic" w:cs="Times New Roman"/>
        </w:rPr>
        <w:t xml:space="preserve"> 7, så skal dette fremgå av oppdragsavtalen med spesialisten.</w:t>
      </w:r>
    </w:p>
    <w:p w14:paraId="76247539" w14:textId="77777777" w:rsidR="00E232DB" w:rsidRDefault="00E232DB" w:rsidP="00422F9A">
      <w:pPr>
        <w:rPr>
          <w:rFonts w:ascii="Century Gothic" w:hAnsi="Century Gothic" w:cs="Times New Roman"/>
          <w:b/>
        </w:rPr>
      </w:pPr>
    </w:p>
    <w:p w14:paraId="675506A7" w14:textId="45E6846B" w:rsidR="0063307F" w:rsidRPr="00635733" w:rsidRDefault="00422F9A" w:rsidP="00D70323">
      <w:pPr>
        <w:rPr>
          <w:rFonts w:ascii="Century Gothic" w:hAnsi="Century Gothic" w:cs="Times New Roman"/>
        </w:rPr>
      </w:pPr>
      <w:r w:rsidRPr="00635733">
        <w:rPr>
          <w:rFonts w:ascii="Century Gothic" w:hAnsi="Century Gothic" w:cs="Times New Roman"/>
          <w:b/>
        </w:rPr>
        <w:t xml:space="preserve">Sist revidert </w:t>
      </w:r>
      <w:r w:rsidR="00D70323">
        <w:rPr>
          <w:rFonts w:ascii="Century Gothic" w:hAnsi="Century Gothic" w:cs="Times New Roman"/>
          <w:b/>
        </w:rPr>
        <w:t>14.03.2016</w:t>
      </w:r>
      <w:bookmarkStart w:id="0" w:name="_GoBack"/>
      <w:bookmarkEnd w:id="0"/>
    </w:p>
    <w:sectPr w:rsidR="0063307F" w:rsidRPr="00635733" w:rsidSect="000C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6D99"/>
    <w:multiLevelType w:val="hybridMultilevel"/>
    <w:tmpl w:val="E8D275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0E73"/>
    <w:multiLevelType w:val="multilevel"/>
    <w:tmpl w:val="73006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5765AD"/>
    <w:multiLevelType w:val="hybridMultilevel"/>
    <w:tmpl w:val="BF78E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A9"/>
    <w:rsid w:val="000454DB"/>
    <w:rsid w:val="000A6415"/>
    <w:rsid w:val="000B6D51"/>
    <w:rsid w:val="000C296C"/>
    <w:rsid w:val="000F43A9"/>
    <w:rsid w:val="001A0FF4"/>
    <w:rsid w:val="00286E42"/>
    <w:rsid w:val="00322F16"/>
    <w:rsid w:val="00385644"/>
    <w:rsid w:val="003A1BF6"/>
    <w:rsid w:val="00422F9A"/>
    <w:rsid w:val="00476FB2"/>
    <w:rsid w:val="00484D4F"/>
    <w:rsid w:val="004A43A6"/>
    <w:rsid w:val="004F1618"/>
    <w:rsid w:val="004F43B7"/>
    <w:rsid w:val="004F7DA1"/>
    <w:rsid w:val="0063307F"/>
    <w:rsid w:val="00635733"/>
    <w:rsid w:val="0063598A"/>
    <w:rsid w:val="006512C3"/>
    <w:rsid w:val="006B5EE0"/>
    <w:rsid w:val="00703734"/>
    <w:rsid w:val="00721B00"/>
    <w:rsid w:val="007B6238"/>
    <w:rsid w:val="007D749F"/>
    <w:rsid w:val="0084276C"/>
    <w:rsid w:val="0088243A"/>
    <w:rsid w:val="0089013B"/>
    <w:rsid w:val="00890148"/>
    <w:rsid w:val="00A9018D"/>
    <w:rsid w:val="00AB74B6"/>
    <w:rsid w:val="00AD0842"/>
    <w:rsid w:val="00C74D5D"/>
    <w:rsid w:val="00D2389A"/>
    <w:rsid w:val="00D70323"/>
    <w:rsid w:val="00D71A6B"/>
    <w:rsid w:val="00D75299"/>
    <w:rsid w:val="00E232DB"/>
    <w:rsid w:val="00E830F8"/>
    <w:rsid w:val="00EA318B"/>
    <w:rsid w:val="00F36E28"/>
    <w:rsid w:val="00F54E8C"/>
    <w:rsid w:val="00F655FB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DAF"/>
  <w15:docId w15:val="{39DA7A4E-83B2-444D-9AE9-11E98801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43A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824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24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24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24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24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71B3-0E0C-44F6-B512-5CF938C0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118B5F10</Template>
  <TotalTime>81</TotalTime>
  <Pages>3</Pages>
  <Words>1102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Svavar Bjørnsson</dc:creator>
  <cp:lastModifiedBy>Holm, Ivar Andre</cp:lastModifiedBy>
  <cp:revision>8</cp:revision>
  <cp:lastPrinted>2014-11-25T11:16:00Z</cp:lastPrinted>
  <dcterms:created xsi:type="dcterms:W3CDTF">2015-09-15T07:40:00Z</dcterms:created>
  <dcterms:modified xsi:type="dcterms:W3CDTF">2016-04-18T08:27:00Z</dcterms:modified>
</cp:coreProperties>
</file>